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B83C10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B83C10" w:rsidRDefault="00B83C10" w:rsidP="00DE0ACF">
            <w:pPr>
              <w:spacing w:before="100" w:beforeAutospacing="1" w:after="60"/>
              <w:jc w:val="center"/>
              <w:rPr>
                <w:b/>
              </w:rPr>
            </w:pPr>
            <w:r w:rsidRPr="00B83C10">
              <w:rPr>
                <w:b/>
              </w:rPr>
              <w:t>HH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B83C10" w:rsidRDefault="00B83C10" w:rsidP="00CF021D">
            <w:pPr>
              <w:spacing w:before="100" w:beforeAutospacing="1" w:after="60"/>
              <w:jc w:val="center"/>
              <w:rPr>
                <w:b/>
              </w:rPr>
            </w:pPr>
            <w:r w:rsidRPr="00B83C10">
              <w:rPr>
                <w:b/>
              </w:rPr>
              <w:t>HERMENÊUTICA E HISTÓRIA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9A4B65" w:rsidRPr="00B83C10" w:rsidRDefault="00B83C10" w:rsidP="00CF021D">
            <w:pPr>
              <w:jc w:val="both"/>
            </w:pPr>
            <w:r w:rsidRPr="00B83C10">
              <w:t>De acordo com a obra nietzschiana e a perspectiva hermenêutica contemporânea, a disciplina trata dos seguintes temas: a relação entre temporalidade e memória; o desenvolvimento da consciência histórica; o caráter histórico do homem e da cultura em relação à temporalidade que os perpassa.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B83C10" w:rsidTr="00CF021D">
        <w:trPr>
          <w:trHeight w:val="20"/>
        </w:trPr>
        <w:tc>
          <w:tcPr>
            <w:tcW w:w="9911" w:type="dxa"/>
            <w:gridSpan w:val="12"/>
          </w:tcPr>
          <w:p w:rsidR="00764508" w:rsidRPr="006935B6" w:rsidRDefault="00764508" w:rsidP="00764508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6935B6">
              <w:t>Aulas expositivas;</w:t>
            </w:r>
          </w:p>
          <w:p w:rsidR="00764508" w:rsidRPr="00B83C10" w:rsidRDefault="00764508" w:rsidP="00764508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6935B6">
              <w:t>Análise e discussão de textos selecionados</w:t>
            </w:r>
          </w:p>
          <w:p w:rsidR="009A4B65" w:rsidRPr="00B83C10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764508" w:rsidRDefault="00764508" w:rsidP="00764508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9A4B65" w:rsidRDefault="00764508" w:rsidP="00764508">
            <w:pPr>
              <w:pStyle w:val="PargrafodaLista"/>
              <w:numPr>
                <w:ilvl w:val="0"/>
                <w:numId w:val="4"/>
              </w:numPr>
              <w:ind w:right="-1"/>
              <w:jc w:val="both"/>
            </w:pPr>
            <w:r w:rsidRPr="006935B6">
              <w:t>Quadro branco e textos sele</w:t>
            </w:r>
            <w:bookmarkStart w:id="0" w:name="_GoBack"/>
            <w:bookmarkEnd w:id="0"/>
            <w:r w:rsidRPr="006935B6">
              <w:t>cionados.</w:t>
            </w:r>
          </w:p>
          <w:p w:rsidR="00764508" w:rsidRPr="00CF021D" w:rsidRDefault="00764508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B83C10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 xml:space="preserve">NIETZSCHE, Friedrich. Segunda consideração intempestiva: da utilidade e desvantagem da história para a vida. Trad. Marco Antônio Casanova. Rio de Janeiro: </w:t>
            </w:r>
            <w:proofErr w:type="spellStart"/>
            <w:r w:rsidRPr="00B83C10">
              <w:rPr>
                <w:sz w:val="20"/>
              </w:rPr>
              <w:t>Relume</w:t>
            </w:r>
            <w:proofErr w:type="spellEnd"/>
            <w:r w:rsidRPr="00B83C10">
              <w:rPr>
                <w:sz w:val="20"/>
              </w:rPr>
              <w:t xml:space="preserve"> </w:t>
            </w:r>
            <w:proofErr w:type="spellStart"/>
            <w:r w:rsidRPr="00B83C10">
              <w:rPr>
                <w:sz w:val="20"/>
              </w:rPr>
              <w:t>Dumará</w:t>
            </w:r>
            <w:proofErr w:type="spellEnd"/>
            <w:r w:rsidRPr="00B83C10">
              <w:rPr>
                <w:sz w:val="20"/>
              </w:rPr>
              <w:t>, 2003. (Conexões)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>NIETZSCHE, Friedrich. Genealogia da moral: uma polêmica. Tradução, notas e posfácio Paulo César de Souza. São Paulo, Companhia das Letras, 1998. 179p. (Obras de Nietzsche).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>NIETZSCHE, Friedrich. Crepúsculo dos ídolos: ou como se filosofa com o martelo. Trad. Artur Morão. Lisboa: Edições 70, s.d. 126p. (Textos filosóficos, 3).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 xml:space="preserve">GADAMER, Hans-Georg. A atualidade do belo: arte como jogo, símbolo e festa. Trad. Celeste </w:t>
            </w:r>
            <w:proofErr w:type="spellStart"/>
            <w:r w:rsidRPr="00B83C10">
              <w:rPr>
                <w:sz w:val="20"/>
              </w:rPr>
              <w:t>Aida</w:t>
            </w:r>
            <w:proofErr w:type="spellEnd"/>
            <w:r w:rsidRPr="00B83C10">
              <w:rPr>
                <w:sz w:val="20"/>
              </w:rPr>
              <w:t xml:space="preserve"> Galeão. Rio de Janeiro: Tempo Brasileiro, 1985. 83p. (Diagrama; 14).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 xml:space="preserve">GADAMER, Hans-Georg. O problema da consciência histórica. Organizador: Pierre </w:t>
            </w:r>
            <w:proofErr w:type="spellStart"/>
            <w:r w:rsidRPr="00B83C10">
              <w:rPr>
                <w:sz w:val="20"/>
              </w:rPr>
              <w:t>Fruchon</w:t>
            </w:r>
            <w:proofErr w:type="spellEnd"/>
            <w:r w:rsidRPr="00B83C10">
              <w:rPr>
                <w:sz w:val="20"/>
              </w:rPr>
              <w:t xml:space="preserve">. Tradução Paulo César Duque Estrada. Rio de Janeiro: Fundação </w:t>
            </w:r>
            <w:proofErr w:type="spellStart"/>
            <w:r w:rsidRPr="00B83C10">
              <w:rPr>
                <w:sz w:val="20"/>
              </w:rPr>
              <w:t>Getulio</w:t>
            </w:r>
            <w:proofErr w:type="spellEnd"/>
            <w:r w:rsidRPr="00B83C10">
              <w:rPr>
                <w:sz w:val="20"/>
              </w:rPr>
              <w:t xml:space="preserve"> Vargas, 1998. 72p.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>GADAMER, Hans-Georg. Verdade e Método: traços fundamentais de uma hermenêutica filosófica. Trad. Flávio Paulo Meurer. 3. ed. Petrópolis: Vozes, 1997. 731p. (Pensamento humano).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t>HEIDEGGER, Martin. Ser e Tempo. Parte I. Tradução de Márcia de Sá Cavalcante. 5. ed. Petrópolis, Vozes, 1995. (Pensamento humano).</w:t>
            </w:r>
          </w:p>
          <w:p w:rsidR="00B83C10" w:rsidRPr="00B83C10" w:rsidRDefault="00B83C10" w:rsidP="00B83C10">
            <w:pPr>
              <w:spacing w:after="120"/>
              <w:jc w:val="both"/>
              <w:rPr>
                <w:sz w:val="20"/>
              </w:rPr>
            </w:pPr>
            <w:r w:rsidRPr="00B83C10">
              <w:rPr>
                <w:sz w:val="20"/>
              </w:rPr>
              <w:lastRenderedPageBreak/>
              <w:t>HEIDEGGER, Martin. Ser e Tempo. Parte II. Tradução de Márcia de Sá Cavalcante. 3. ed. Petrópolis, Vozes, 1993. (Pensamento humano).</w:t>
            </w:r>
          </w:p>
          <w:p w:rsidR="00B83C10" w:rsidRPr="00B83C10" w:rsidRDefault="00B83C10" w:rsidP="00B83C10">
            <w:pPr>
              <w:pStyle w:val="Cabealho"/>
              <w:rPr>
                <w:sz w:val="20"/>
              </w:rPr>
            </w:pPr>
            <w:r w:rsidRPr="00B83C10">
              <w:rPr>
                <w:sz w:val="20"/>
              </w:rPr>
              <w:t>SARTRE, Jean-Paul. O existencialismo é um humanismo; A imaginação; Questão de método; HEIDEGGER, Martin. Conferências e escritos filosóficos. São Paulo: Abril Cultural, 1973. (Os pensadores).</w:t>
            </w:r>
          </w:p>
          <w:p w:rsidR="00683AD4" w:rsidRPr="00B83C10" w:rsidRDefault="00683AD4" w:rsidP="00CF021D">
            <w:pPr>
              <w:spacing w:before="60" w:after="60"/>
              <w:rPr>
                <w:sz w:val="20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CB7C49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49" w:rsidRDefault="00CB7C49" w:rsidP="00683AD4">
      <w:r>
        <w:separator/>
      </w:r>
    </w:p>
  </w:endnote>
  <w:endnote w:type="continuationSeparator" w:id="0">
    <w:p w:rsidR="00CB7C49" w:rsidRDefault="00CB7C49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49" w:rsidRDefault="00CB7C49" w:rsidP="00683AD4">
      <w:r>
        <w:separator/>
      </w:r>
    </w:p>
  </w:footnote>
  <w:footnote w:type="continuationSeparator" w:id="0">
    <w:p w:rsidR="00CB7C49" w:rsidRDefault="00CB7C49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3788"/>
    <w:multiLevelType w:val="hybridMultilevel"/>
    <w:tmpl w:val="1AF8E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62620"/>
    <w:multiLevelType w:val="hybridMultilevel"/>
    <w:tmpl w:val="91D41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961E0"/>
    <w:rsid w:val="00315A78"/>
    <w:rsid w:val="00440960"/>
    <w:rsid w:val="004733C9"/>
    <w:rsid w:val="004F2963"/>
    <w:rsid w:val="005B1F4A"/>
    <w:rsid w:val="006630D7"/>
    <w:rsid w:val="00683AD4"/>
    <w:rsid w:val="00764508"/>
    <w:rsid w:val="009426D7"/>
    <w:rsid w:val="009A4B65"/>
    <w:rsid w:val="00B83C10"/>
    <w:rsid w:val="00C22491"/>
    <w:rsid w:val="00CB7C49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4</cp:revision>
  <dcterms:created xsi:type="dcterms:W3CDTF">2014-12-02T23:43:00Z</dcterms:created>
  <dcterms:modified xsi:type="dcterms:W3CDTF">2014-12-03T00:23:00Z</dcterms:modified>
</cp:coreProperties>
</file>